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05E8AF9" w14:textId="0249087E" w:rsidR="006B438E" w:rsidRPr="006B438E" w:rsidRDefault="00C02A97" w:rsidP="00AA0B0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</w:p>
    <w:p w14:paraId="0E77BAB1" w14:textId="77777777" w:rsidR="004A2806" w:rsidRPr="00BE6096" w:rsidRDefault="004A2806" w:rsidP="00287DA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  <w:bookmarkStart w:id="0" w:name="_Hlk31959557"/>
    </w:p>
    <w:p w14:paraId="3110E38A" w14:textId="00CBFF6D" w:rsidR="00DC7ECD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>[</w:t>
      </w:r>
      <w:r w:rsidR="00AA0B00" w:rsidRPr="00287DAD">
        <w:rPr>
          <w:rFonts w:asciiTheme="minorHAnsi" w:hAnsiTheme="minorHAnsi" w:cs="Calibri"/>
          <w:bCs/>
          <w:i/>
          <w:iCs/>
        </w:rPr>
        <w:t>SUPREME/DISTRICT/</w:t>
      </w:r>
      <w:r w:rsidRPr="00287DAD">
        <w:rPr>
          <w:rFonts w:asciiTheme="minorHAnsi" w:hAnsiTheme="minorHAnsi" w:cs="Calibri"/>
          <w:bCs/>
          <w:i/>
          <w:iCs/>
        </w:rPr>
        <w:t>MAGISTRATES</w:t>
      </w:r>
      <w:r w:rsidR="00F84D1A" w:rsidRPr="00287DAD">
        <w:rPr>
          <w:rFonts w:asciiTheme="minorHAnsi" w:hAnsiTheme="minorHAnsi" w:cs="Calibri"/>
          <w:bCs/>
          <w:i/>
          <w:iCs/>
        </w:rPr>
        <w:t>/YOUTH</w:t>
      </w:r>
      <w:r w:rsidRPr="006B438E">
        <w:rPr>
          <w:rFonts w:asciiTheme="minorHAnsi" w:hAnsiTheme="minorHAnsi" w:cs="Calibri"/>
          <w:bCs/>
        </w:rPr>
        <w:t xml:space="preserve">] </w:t>
      </w:r>
      <w:r w:rsidR="00A3528F">
        <w:rPr>
          <w:rFonts w:asciiTheme="minorHAnsi" w:hAnsiTheme="minorHAnsi" w:cs="Calibri"/>
          <w:b/>
          <w:sz w:val="12"/>
        </w:rPr>
        <w:t>Select</w:t>
      </w:r>
      <w:r w:rsidR="00A3528F" w:rsidRPr="00A35B15">
        <w:rPr>
          <w:rFonts w:asciiTheme="minorHAnsi" w:hAnsiTheme="minorHAnsi" w:cs="Calibri"/>
          <w:b/>
          <w:sz w:val="12"/>
        </w:rPr>
        <w:t xml:space="preserve"> </w:t>
      </w:r>
      <w:r w:rsidR="003D7D1F" w:rsidRPr="00A35B15">
        <w:rPr>
          <w:rFonts w:asciiTheme="minorHAnsi" w:hAnsiTheme="minorHAnsi" w:cs="Calibri"/>
          <w:b/>
          <w:sz w:val="12"/>
        </w:rPr>
        <w:t>one</w:t>
      </w:r>
      <w:r w:rsidRPr="006B438E">
        <w:rPr>
          <w:rFonts w:asciiTheme="minorHAnsi" w:hAnsiTheme="minorHAnsi" w:cs="Calibri"/>
          <w:bCs/>
        </w:rPr>
        <w:t xml:space="preserve"> 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660C789" w14:textId="70CCDC23" w:rsidR="006B438E" w:rsidRPr="00287DAD" w:rsidRDefault="006B438E" w:rsidP="00287DA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>CRIMINAL</w:t>
      </w:r>
      <w:r w:rsidR="00AF5BED" w:rsidRPr="006B438E">
        <w:rPr>
          <w:rFonts w:asciiTheme="minorHAnsi" w:hAnsiTheme="minorHAnsi" w:cs="Calibri"/>
          <w:bCs/>
        </w:rPr>
        <w:t xml:space="preserve"> </w:t>
      </w:r>
      <w:r w:rsidR="00DC7ECD" w:rsidRPr="006B438E">
        <w:rPr>
          <w:rFonts w:asciiTheme="minorHAnsi" w:hAnsiTheme="minorHAnsi" w:cs="Calibri"/>
          <w:bCs/>
        </w:rPr>
        <w:t>JURISDICTION</w:t>
      </w:r>
      <w:bookmarkEnd w:id="0"/>
    </w:p>
    <w:p w14:paraId="35F95AC6" w14:textId="00B3A467" w:rsidR="00192AA8" w:rsidRPr="00287DAD" w:rsidRDefault="00B74B2E" w:rsidP="00192A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83971451"/>
      <w:bookmarkStart w:id="2" w:name="_Hlk53043968"/>
      <w:r w:rsidRPr="00287DAD">
        <w:rPr>
          <w:rFonts w:asciiTheme="minorHAnsi" w:hAnsiTheme="minorHAnsi" w:cs="Calibri"/>
          <w:b/>
        </w:rPr>
        <w:t>[</w:t>
      </w:r>
      <w:r w:rsidRPr="00287DAD">
        <w:rPr>
          <w:rFonts w:asciiTheme="minorHAnsi" w:hAnsiTheme="minorHAnsi" w:cs="Calibri"/>
          <w:b/>
          <w:i/>
        </w:rPr>
        <w:t>FULL NAME</w:t>
      </w:r>
      <w:r w:rsidRPr="00287DAD">
        <w:rPr>
          <w:rFonts w:asciiTheme="minorHAnsi" w:hAnsiTheme="minorHAnsi" w:cs="Calibri"/>
          <w:b/>
        </w:rPr>
        <w:t>]</w:t>
      </w:r>
      <w:r w:rsidR="006B438E" w:rsidRPr="008D1830">
        <w:rPr>
          <w:rFonts w:asciiTheme="minorHAnsi" w:hAnsiTheme="minorHAnsi" w:cs="Calibri"/>
          <w:b/>
          <w:sz w:val="12"/>
        </w:rPr>
        <w:t xml:space="preserve"> </w:t>
      </w:r>
    </w:p>
    <w:p w14:paraId="6001FF4C" w14:textId="5E0FE140" w:rsidR="00972AFA" w:rsidRPr="00287DAD" w:rsidDel="00897A6B" w:rsidRDefault="00A648B8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287DAD" w:rsidDel="00897A6B">
        <w:rPr>
          <w:rFonts w:asciiTheme="minorHAnsi" w:hAnsiTheme="minorHAnsi" w:cs="Calibri"/>
          <w:b/>
        </w:rPr>
        <w:t xml:space="preserve">Applicant </w:t>
      </w:r>
    </w:p>
    <w:p w14:paraId="229CF644" w14:textId="5EF8EFBB" w:rsidR="00CA5D9A" w:rsidRPr="00287DAD" w:rsidRDefault="00B74B2E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287DAD">
        <w:rPr>
          <w:rFonts w:asciiTheme="minorHAnsi" w:hAnsiTheme="minorHAnsi" w:cs="Calibri"/>
          <w:b/>
        </w:rPr>
        <w:t>[</w:t>
      </w:r>
      <w:r w:rsidRPr="00287DAD">
        <w:rPr>
          <w:rFonts w:asciiTheme="minorHAnsi" w:hAnsiTheme="minorHAnsi" w:cs="Calibri"/>
          <w:b/>
          <w:i/>
        </w:rPr>
        <w:t>FULL NAME</w:t>
      </w:r>
      <w:r w:rsidRPr="00287DAD">
        <w:rPr>
          <w:rFonts w:asciiTheme="minorHAnsi" w:hAnsiTheme="minorHAnsi" w:cs="Calibri"/>
          <w:b/>
        </w:rPr>
        <w:t xml:space="preserve">] </w:t>
      </w:r>
    </w:p>
    <w:p w14:paraId="2B818591" w14:textId="72D6A454" w:rsidR="001845C9" w:rsidRPr="00287DAD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bookmarkStart w:id="3" w:name="_Hlk29810142"/>
      <w:bookmarkStart w:id="4" w:name="_Hlk29809020"/>
      <w:r w:rsidRPr="00287DAD">
        <w:rPr>
          <w:rFonts w:asciiTheme="minorHAnsi" w:hAnsiTheme="minorHAnsi" w:cs="Calibri"/>
          <w:b/>
        </w:rPr>
        <w:t xml:space="preserve">Respondent </w:t>
      </w:r>
    </w:p>
    <w:bookmarkEnd w:id="1"/>
    <w:p w14:paraId="45939796" w14:textId="1370DFFD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183"/>
            <w:bookmarkStart w:id="6" w:name="_Hlk38436125"/>
            <w:bookmarkStart w:id="7" w:name="_Hlk38357244"/>
            <w:bookmarkEnd w:id="3"/>
            <w:bookmarkEnd w:id="4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0DF7F6E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38384204"/>
            <w:bookmarkEnd w:id="5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32068843" w:rsidR="009C0B31" w:rsidRPr="009C0B31" w:rsidRDefault="004B7054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6"/>
      <w:bookmarkEnd w:id="8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43F0FC70" w14:textId="77777777" w:rsidR="00AA0B00" w:rsidRDefault="00AA0B0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9" w:name="_Hlk53402370"/>
      <w:bookmarkStart w:id="10" w:name="_Hlk53406852"/>
      <w:bookmarkEnd w:id="7"/>
      <w:r>
        <w:rPr>
          <w:rFonts w:eastAsia="Calibri" w:cs="Arial"/>
          <w:b/>
          <w:sz w:val="12"/>
          <w:szCs w:val="22"/>
        </w:rPr>
        <w:br w:type="page"/>
      </w:r>
    </w:p>
    <w:p w14:paraId="20D49909" w14:textId="67F1D7CF" w:rsidR="00E23AA6" w:rsidRPr="00B74B2E" w:rsidRDefault="00B74B2E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</w:t>
      </w:r>
      <w:r w:rsidR="00AA0B00">
        <w:rPr>
          <w:rFonts w:eastAsia="Calibri" w:cs="Arial"/>
          <w:b/>
          <w:sz w:val="12"/>
          <w:szCs w:val="22"/>
        </w:rPr>
        <w:t>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1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01767129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11"/>
    <w:bookmarkEnd w:id="9"/>
    <w:p w14:paraId="35C2AC5E" w14:textId="0124C488" w:rsidR="00B74B2E" w:rsidRDefault="0000770F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Next box to only appear if applicable</w:t>
      </w:r>
    </w:p>
    <w:p w14:paraId="603EACD5" w14:textId="7B53B294" w:rsidR="009014E9" w:rsidRPr="001845C9" w:rsidRDefault="00B74B2E" w:rsidP="00B74B2E">
      <w:pPr>
        <w:ind w:right="142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t>Duplicate panel if multiple Interested Parties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97E90" w:rsidRPr="003928D5" w14:paraId="3629EF19" w14:textId="77777777" w:rsidTr="00CD264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41EFCF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99CBBD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5DC9DED5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C658F8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14FCF20" w14:textId="77A6B24E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397E90" w:rsidRPr="003928D5" w14:paraId="31180B98" w14:textId="77777777" w:rsidTr="00CD264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768AEA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BBFE4F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4EC2E546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819978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E93C81" w14:textId="77777777" w:rsidR="00397E90" w:rsidRPr="0049569B" w:rsidRDefault="00397E90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97E90" w:rsidRPr="003928D5" w14:paraId="4B3F2024" w14:textId="77777777" w:rsidTr="00CD264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E2990E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11673C6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564238F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DB4FA5D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2F5D027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7D08D49F" w14:textId="77777777" w:rsidTr="00CD264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C0D2DA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65E3DE" w14:textId="77777777" w:rsidR="00397E90" w:rsidRPr="0049569B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E379FD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CBBD8C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6336726" w14:textId="77777777" w:rsidR="00397E90" w:rsidRPr="003928D5" w:rsidRDefault="00397E90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397E90" w:rsidRPr="003928D5" w14:paraId="74B3B8C4" w14:textId="77777777" w:rsidTr="00CD264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D1E453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313B10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</w:tr>
      <w:tr w:rsidR="00397E90" w:rsidRPr="003928D5" w14:paraId="0308481C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C41CE2" w14:textId="77777777" w:rsidR="00397E90" w:rsidRPr="003928D5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794D04F" w14:textId="77777777" w:rsidR="00397E90" w:rsidRPr="0049569B" w:rsidRDefault="00397E90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B74B2E" w:rsidRPr="009756E8" w14:paraId="4E9C09DA" w14:textId="3ABB9804" w:rsidTr="00B74B2E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FC312BD" w14:textId="77777777" w:rsidR="00B74B2E" w:rsidRPr="009756E8" w:rsidRDefault="00B74B2E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9B2E230" w14:textId="77777777" w:rsidR="00B74B2E" w:rsidRPr="009756E8" w:rsidRDefault="00B74B2E" w:rsidP="008B6E15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9C3A67F" w14:textId="77777777" w:rsidR="00B74B2E" w:rsidRPr="009756E8" w:rsidRDefault="00B74B2E" w:rsidP="008B6E15">
            <w:pPr>
              <w:rPr>
                <w:rFonts w:cs="Arial"/>
              </w:rPr>
            </w:pPr>
          </w:p>
        </w:tc>
      </w:tr>
      <w:tr w:rsidR="00B74B2E" w:rsidRPr="009756E8" w14:paraId="32C3C3C7" w14:textId="25FC4D52" w:rsidTr="00B74B2E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5332D5CC" w14:textId="77777777" w:rsidR="00B74B2E" w:rsidRDefault="00B74B2E" w:rsidP="008B6E15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040D8A3" w14:textId="0FA2F51F" w:rsidR="00B74B2E" w:rsidRPr="008376E4" w:rsidRDefault="00363234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B2EF8E3" w14:textId="5DB55812" w:rsidR="00B74B2E" w:rsidRPr="00B74B2E" w:rsidRDefault="00363234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2"/>
      <w:bookmarkEnd w:id="10"/>
    </w:tbl>
    <w:p w14:paraId="0317E883" w14:textId="77777777" w:rsidR="00BE6096" w:rsidRDefault="00BE6096" w:rsidP="00BE6096">
      <w:pPr>
        <w:spacing w:before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287DAD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40FD3F14" w:rsidR="001518CC" w:rsidRDefault="001518CC" w:rsidP="00287DAD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7EC5CD04" w14:textId="1AC634A4" w:rsidR="006A20CA" w:rsidRPr="00C27188" w:rsidRDefault="00A44A4A" w:rsidP="00031D1D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4C14D541" w14:textId="131626F9" w:rsidR="00031D1D" w:rsidRDefault="006A20CA" w:rsidP="00031D1D">
            <w:pPr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  <w:r w:rsidR="009634D0">
              <w:rPr>
                <w:rFonts w:asciiTheme="minorHAnsi" w:hAnsiTheme="minorHAnsi" w:cstheme="minorHAnsi"/>
              </w:rPr>
              <w:t xml:space="preserve"> </w:t>
            </w:r>
          </w:p>
          <w:p w14:paraId="53E1D933" w14:textId="77777777" w:rsidR="00BB57B0" w:rsidRDefault="00BB57B0" w:rsidP="00031D1D">
            <w:pPr>
              <w:ind w:right="57"/>
              <w:rPr>
                <w:rFonts w:asciiTheme="minorHAnsi" w:hAnsiTheme="minorHAnsi" w:cstheme="minorHAnsi"/>
              </w:rPr>
            </w:pPr>
          </w:p>
          <w:p w14:paraId="49D7402D" w14:textId="26E144C5" w:rsidR="001B2888" w:rsidRDefault="006A20CA" w:rsidP="00031D1D">
            <w:pPr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 w:rsidR="009634D0">
              <w:rPr>
                <w:rFonts w:asciiTheme="minorHAnsi" w:hAnsiTheme="minorHAnsi" w:cstheme="minorHAnsi"/>
              </w:rPr>
              <w:t xml:space="preserve"> </w:t>
            </w:r>
          </w:p>
          <w:p w14:paraId="7EBE379E" w14:textId="27209E82" w:rsidR="006A20CA" w:rsidRPr="001A0844" w:rsidRDefault="006A20CA" w:rsidP="009C11F2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 w:rsidR="009634D0">
              <w:rPr>
                <w:rFonts w:asciiTheme="minorHAnsi" w:hAnsiTheme="minorHAnsi" w:cstheme="minorHAnsi"/>
              </w:rPr>
              <w:t xml:space="preserve"> Applicant seeks the following </w:t>
            </w:r>
            <w:r w:rsidR="00AF1F48">
              <w:rPr>
                <w:rFonts w:asciiTheme="minorHAnsi" w:hAnsiTheme="minorHAnsi" w:cstheme="minorHAnsi"/>
              </w:rPr>
              <w:t>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268AA79" w14:textId="2B17F356" w:rsidR="006A20CA" w:rsidRPr="00482F13" w:rsidRDefault="001A0844" w:rsidP="00031D1D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F2060C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</w:t>
            </w:r>
            <w:r w:rsidR="000F7B4D">
              <w:rPr>
                <w:rFonts w:asciiTheme="minorHAnsi" w:hAnsiTheme="minorHAnsi" w:cstheme="minorHAnsi"/>
                <w:b/>
                <w:sz w:val="12"/>
                <w:szCs w:val="12"/>
              </w:rPr>
              <w:t>ly</w:t>
            </w:r>
            <w:r w:rsidR="006A20CA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</w:t>
            </w:r>
            <w:r w:rsidR="00E14E12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  <w:r w:rsidR="00031D1D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7CC8253F" w14:textId="06D2EF3A" w:rsidR="00073AC3" w:rsidRDefault="001A0844" w:rsidP="0022613B">
            <w:pPr>
              <w:spacing w:after="240"/>
              <w:ind w:left="457" w:hanging="4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9C0B31">
              <w:rPr>
                <w:rFonts w:asciiTheme="minorHAnsi" w:hAnsiTheme="minorHAnsi" w:cstheme="minorHAnsi"/>
              </w:rPr>
              <w:tab/>
            </w:r>
          </w:p>
          <w:p w14:paraId="7ECF5282" w14:textId="77777777" w:rsidR="00727F04" w:rsidRDefault="001A0844" w:rsidP="00662807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6ABF2ADE" w14:textId="036C510E" w:rsidR="00727F04" w:rsidRPr="00BE6096" w:rsidRDefault="00727F04" w:rsidP="00BE6096">
            <w:pPr>
              <w:pStyle w:val="ListParagraph"/>
              <w:numPr>
                <w:ilvl w:val="0"/>
                <w:numId w:val="15"/>
              </w:numPr>
              <w:ind w:right="57"/>
              <w:rPr>
                <w:rFonts w:cs="Arial"/>
              </w:rPr>
            </w:pPr>
            <w:r w:rsidRPr="00BE6096">
              <w:rPr>
                <w:rFonts w:cs="Arial"/>
              </w:rPr>
              <w:t xml:space="preserve">set out in the accompanying </w:t>
            </w:r>
            <w:r w:rsidR="009D3E09" w:rsidRPr="00BE6096">
              <w:rPr>
                <w:rFonts w:cs="Arial"/>
              </w:rPr>
              <w:t>A</w:t>
            </w:r>
            <w:r w:rsidRPr="00BE6096">
              <w:rPr>
                <w:rFonts w:cs="Arial"/>
              </w:rPr>
              <w:t>ffidavit sworn by [</w:t>
            </w:r>
            <w:r w:rsidRPr="00BE6096">
              <w:rPr>
                <w:rFonts w:cs="Arial"/>
                <w:i/>
              </w:rPr>
              <w:t>name</w:t>
            </w:r>
            <w:r w:rsidRPr="00BE6096">
              <w:rPr>
                <w:rFonts w:cs="Arial"/>
              </w:rPr>
              <w:t>] on [</w:t>
            </w:r>
            <w:r w:rsidRPr="00BE6096">
              <w:rPr>
                <w:rFonts w:cs="Arial"/>
                <w:i/>
              </w:rPr>
              <w:t>date</w:t>
            </w:r>
            <w:r w:rsidRPr="00BE6096">
              <w:rPr>
                <w:rFonts w:cs="Arial"/>
              </w:rPr>
              <w:t>].</w:t>
            </w:r>
          </w:p>
          <w:p w14:paraId="2181E971" w14:textId="0B6B3088" w:rsidR="00A10CCC" w:rsidRPr="00BE6096" w:rsidRDefault="00727F04" w:rsidP="00BE6096">
            <w:pPr>
              <w:pStyle w:val="ListParagraph"/>
              <w:numPr>
                <w:ilvl w:val="0"/>
                <w:numId w:val="15"/>
              </w:numPr>
              <w:ind w:right="57"/>
              <w:rPr>
                <w:rFonts w:cs="Arial"/>
              </w:rPr>
            </w:pPr>
            <w:r w:rsidRPr="00BE6096">
              <w:rPr>
                <w:rFonts w:cs="Arial"/>
              </w:rPr>
              <w:t xml:space="preserve">that </w:t>
            </w:r>
          </w:p>
          <w:p w14:paraId="42DC78FD" w14:textId="7941D03C" w:rsidR="00727F04" w:rsidRDefault="00727F04" w:rsidP="00BE6096">
            <w:pPr>
              <w:ind w:left="360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14FECA6" w14:textId="65EDB7C2" w:rsidR="0022613B" w:rsidRPr="00BF09B4" w:rsidRDefault="0022613B" w:rsidP="00BE6096">
            <w:pPr>
              <w:pStyle w:val="ListParagraph"/>
              <w:numPr>
                <w:ilvl w:val="0"/>
                <w:numId w:val="11"/>
              </w:numPr>
              <w:spacing w:after="120"/>
              <w:ind w:left="949" w:right="57" w:hanging="357"/>
              <w:contextualSpacing w:val="0"/>
              <w:rPr>
                <w:rFonts w:cs="Arial"/>
                <w:i/>
              </w:rPr>
            </w:pPr>
          </w:p>
          <w:p w14:paraId="466734C5" w14:textId="6BAF7C25" w:rsidR="004A3930" w:rsidRPr="00EB0D53" w:rsidRDefault="006C1F73" w:rsidP="009C11F2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EB0D53">
              <w:rPr>
                <w:rFonts w:cs="Arial"/>
                <w:b/>
                <w:iCs/>
                <w:sz w:val="12"/>
              </w:rPr>
              <w:t>If applicable</w:t>
            </w:r>
            <w:r w:rsidRPr="00EB0D53">
              <w:rPr>
                <w:rFonts w:cs="Arial"/>
                <w:b/>
                <w:iCs/>
              </w:rPr>
              <w:t xml:space="preserve"> </w:t>
            </w:r>
          </w:p>
          <w:p w14:paraId="0F31F9C2" w14:textId="77777777" w:rsidR="00BF09B4" w:rsidRDefault="006C1F73" w:rsidP="00031D1D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463A7C25" w:rsidR="006C1F73" w:rsidRDefault="006C1F73" w:rsidP="00031D1D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7C662D4C" w14:textId="77777777" w:rsidR="009D16BD" w:rsidRPr="00BE6096" w:rsidRDefault="009D16BD" w:rsidP="00BE6096">
            <w:pPr>
              <w:pStyle w:val="ListParagraph"/>
              <w:numPr>
                <w:ilvl w:val="0"/>
                <w:numId w:val="12"/>
              </w:numPr>
              <w:spacing w:after="240"/>
              <w:ind w:left="310" w:right="57"/>
              <w:rPr>
                <w:rFonts w:cs="Arial"/>
              </w:rPr>
            </w:pPr>
          </w:p>
          <w:p w14:paraId="0B0E9F5C" w14:textId="722B2638" w:rsidR="00392879" w:rsidRDefault="00392879" w:rsidP="00392879">
            <w:pPr>
              <w:keepNext/>
              <w:keepLines/>
              <w:spacing w:before="36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4B043DB9" w14:textId="77777777" w:rsidR="00392879" w:rsidRDefault="00392879" w:rsidP="00392879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7CC0CFF9" w14:textId="424348AD" w:rsidR="00392879" w:rsidRDefault="00392879" w:rsidP="00392879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Applicant seeks an extension of time to </w:t>
            </w:r>
            <w:r w:rsidR="00A46797">
              <w:rPr>
                <w:rFonts w:asciiTheme="minorHAnsi" w:hAnsiTheme="minorHAnsi" w:cs="Calibri"/>
              </w:rPr>
              <w:t xml:space="preserve">institute this action </w:t>
            </w:r>
            <w:r>
              <w:rPr>
                <w:rFonts w:cs="Arial"/>
              </w:rPr>
              <w:t>pursuant to</w:t>
            </w:r>
          </w:p>
          <w:p w14:paraId="0BF787A2" w14:textId="01F3A08E" w:rsidR="00392879" w:rsidRDefault="00392879" w:rsidP="00392879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1F92D991" w14:textId="7064F0BC" w:rsidR="00BE6096" w:rsidRPr="00392879" w:rsidRDefault="00A46797" w:rsidP="00BE6096">
            <w:pPr>
              <w:tabs>
                <w:tab w:val="left" w:pos="426"/>
                <w:tab w:val="right" w:pos="10206"/>
              </w:tabs>
              <w:spacing w:before="240" w:after="120"/>
              <w:jc w:val="left"/>
              <w:rPr>
                <w:rFonts w:cs="Arial"/>
              </w:rPr>
            </w:pPr>
            <w:r>
              <w:rPr>
                <w:rFonts w:asciiTheme="minorHAnsi" w:hAnsiTheme="minorHAnsi" w:cs="Calibri"/>
              </w:rPr>
              <w:t>The grounds for seeking an extension a</w:t>
            </w:r>
            <w:r w:rsidR="009D3E09">
              <w:rPr>
                <w:rFonts w:asciiTheme="minorHAnsi" w:hAnsiTheme="minorHAnsi" w:cs="Calibri"/>
              </w:rPr>
              <w:t>re set out in the accompanying A</w:t>
            </w:r>
            <w:r>
              <w:rPr>
                <w:rFonts w:asciiTheme="minorHAnsi" w:hAnsiTheme="minorHAnsi" w:cs="Calibri"/>
              </w:rPr>
              <w:t>ffidavit</w:t>
            </w:r>
            <w:r>
              <w:rPr>
                <w:rFonts w:cs="Arial"/>
              </w:rPr>
              <w:t>.</w:t>
            </w:r>
          </w:p>
        </w:tc>
      </w:tr>
    </w:tbl>
    <w:p w14:paraId="473FA9E1" w14:textId="51815183" w:rsidR="00BE6096" w:rsidRDefault="00BE6096" w:rsidP="00BE6096">
      <w:pPr>
        <w:spacing w:before="120"/>
      </w:pPr>
      <w:r>
        <w:br w:type="page"/>
      </w:r>
    </w:p>
    <w:p w14:paraId="6920FDB5" w14:textId="77777777" w:rsidR="00BE6096" w:rsidRDefault="00BE6096" w:rsidP="00BE6096">
      <w:pPr>
        <w:spacing w:before="120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8A224A" w14:textId="77777777" w:rsidTr="00BE609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900581" w:rsidRDefault="00E859F2" w:rsidP="00287DAD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12" w:name="_Hlk53397004"/>
            <w:bookmarkStart w:id="13" w:name="_Hlk53407190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4635F2" w:rsidRDefault="005F1945" w:rsidP="003403D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FA17B2"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4635F2">
              <w:rPr>
                <w:rFonts w:asciiTheme="minorHAnsi" w:hAnsiTheme="minorHAnsi" w:cs="Calibri"/>
              </w:rPr>
              <w:t>; and</w:t>
            </w:r>
          </w:p>
          <w:p w14:paraId="0525989C" w14:textId="7EFD9AA0" w:rsidR="007521A9" w:rsidRPr="005759BE" w:rsidRDefault="007521A9" w:rsidP="003403DB">
            <w:pPr>
              <w:pStyle w:val="ListParagraph"/>
              <w:numPr>
                <w:ilvl w:val="0"/>
                <w:numId w:val="1"/>
              </w:numPr>
              <w:spacing w:before="120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 w:rsidR="00E859F2">
              <w:rPr>
                <w:rFonts w:cs="Arial"/>
              </w:rPr>
              <w:t xml:space="preserve">ed on by the party seeking the </w:t>
            </w:r>
            <w:r w:rsidR="00031D1D">
              <w:rPr>
                <w:rFonts w:cs="Arial"/>
              </w:rPr>
              <w:t>o</w:t>
            </w:r>
            <w:r w:rsidRPr="005759BE">
              <w:rPr>
                <w:rFonts w:cs="Arial"/>
              </w:rPr>
              <w:t>rders</w:t>
            </w:r>
            <w:r w:rsidR="00E859F2"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 w:rsidR="004635F2">
              <w:rPr>
                <w:rFonts w:cs="Arial"/>
              </w:rPr>
              <w:t xml:space="preserve"> parties an Affidavit </w:t>
            </w:r>
            <w:r w:rsidR="00ED5638">
              <w:rPr>
                <w:rFonts w:cs="Arial"/>
              </w:rPr>
              <w:t>within</w:t>
            </w:r>
            <w:r w:rsidR="004635F2"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 w:rsidR="004635F2"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B3BF28" w14:textId="77777777" w:rsidR="001C23C6" w:rsidRDefault="005F1945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031D1D"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26733377" w14:textId="2C05DCEF" w:rsidR="004635F2" w:rsidRPr="00900581" w:rsidRDefault="004635F2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950F1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</w:t>
            </w:r>
          </w:p>
        </w:tc>
      </w:tr>
      <w:bookmarkEnd w:id="12"/>
    </w:tbl>
    <w:p w14:paraId="58F1244E" w14:textId="77777777" w:rsidR="007072B1" w:rsidRPr="00256EF6" w:rsidRDefault="007072B1" w:rsidP="00BE6096">
      <w:pPr>
        <w:spacing w:before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2ACBD72F" w14:textId="0A46D7E5" w:rsidR="006241B6" w:rsidRDefault="006241B6" w:rsidP="00287DAD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4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5508DF4" w14:textId="00E870B8" w:rsidR="006241B6" w:rsidRPr="00900581" w:rsidRDefault="006241B6" w:rsidP="005B36FE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DE535C8" w14:textId="418FAC78" w:rsidR="00FF0EDE" w:rsidRPr="00BE6096" w:rsidRDefault="00FF0EDE" w:rsidP="00BE609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E6096">
              <w:rPr>
                <w:rFonts w:asciiTheme="majorHAnsi" w:hAnsiTheme="majorHAnsi" w:cstheme="majorHAnsi"/>
              </w:rPr>
              <w:t xml:space="preserve">Multilingual Notice </w:t>
            </w:r>
            <w:r w:rsidRPr="00BE6096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7658E5A8" w14:textId="033A6C49" w:rsidR="00C264A6" w:rsidRPr="00BE6096" w:rsidRDefault="00FF0EDE" w:rsidP="00BE609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E6096">
              <w:rPr>
                <w:rFonts w:asciiTheme="majorHAnsi" w:hAnsiTheme="majorHAnsi" w:cstheme="majorHAnsi"/>
              </w:rPr>
              <w:t xml:space="preserve">Supporting Affidavit </w:t>
            </w:r>
            <w:r w:rsidR="000A02C0" w:rsidRPr="00BE6096">
              <w:rPr>
                <w:rFonts w:cs="Arial"/>
                <w:b/>
                <w:sz w:val="12"/>
                <w:szCs w:val="18"/>
              </w:rPr>
              <w:t>mandatory unless application is of a specified type in which case it is optional</w:t>
            </w:r>
            <w:r w:rsidRPr="00BE6096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66472387" w14:textId="46FBD470" w:rsidR="00FF0EDE" w:rsidRPr="00BE6096" w:rsidRDefault="00FF0EDE" w:rsidP="00BE609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E6096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BE6096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22AD865" w14:textId="3F51ECA5" w:rsidR="00FF0EDE" w:rsidRPr="00BE6096" w:rsidRDefault="00FF0EDE" w:rsidP="00BE609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E6096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BE6096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0BC792D" w14:textId="666D3506" w:rsidR="00FF0EDE" w:rsidRPr="00BE6096" w:rsidRDefault="00FF0EDE" w:rsidP="00BE609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E6096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BE6096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436592A0" w14:textId="20F921A7" w:rsidR="009C0B31" w:rsidRPr="00BE6096" w:rsidRDefault="003403DB" w:rsidP="00BE609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15" w:name="_Hlk53403913"/>
            <w:r w:rsidRPr="00BE6096">
              <w:rPr>
                <w:rFonts w:cs="Arial"/>
                <w:lang w:val="en-US"/>
              </w:rPr>
              <w:t>If other additional document(s) please list below:</w:t>
            </w:r>
            <w:bookmarkEnd w:id="15"/>
          </w:p>
          <w:p w14:paraId="52776FB2" w14:textId="1DE05D3C" w:rsidR="003403DB" w:rsidRPr="00C45A2E" w:rsidRDefault="003403DB" w:rsidP="003403DB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3"/>
      <w:bookmarkEnd w:id="14"/>
    </w:tbl>
    <w:p w14:paraId="7D83818A" w14:textId="16931BFA" w:rsidR="00612586" w:rsidRPr="00256EF6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A2E3528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920160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DC06D4E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920160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935"/>
    <w:multiLevelType w:val="hybridMultilevel"/>
    <w:tmpl w:val="D40A074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502B"/>
    <w:multiLevelType w:val="hybridMultilevel"/>
    <w:tmpl w:val="821879B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7"/>
  </w:num>
  <w:num w:numId="14">
    <w:abstractNumId w:val="13"/>
  </w:num>
  <w:num w:numId="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02C0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965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346C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2A7F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87DAD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645"/>
    <w:rsid w:val="00327E30"/>
    <w:rsid w:val="00330C68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DEB"/>
    <w:rsid w:val="004B3A05"/>
    <w:rsid w:val="004B705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6FE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4AE6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E56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830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160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16BD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28F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00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C6BB9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57B0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4AD1"/>
    <w:rsid w:val="00BE58AB"/>
    <w:rsid w:val="00BE6096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1831"/>
    <w:rsid w:val="00C140E1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C4C8A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A2F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05C2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53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5638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63C72AD-A935-4BDC-B7C7-3DEA8875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1e Originating Application</dc:title>
  <dc:subject/>
  <dc:creator>Courts Administration Authority</dc:creator>
  <cp:keywords>Forms; Special</cp:keywords>
  <dc:description/>
  <cp:lastModifiedBy/>
  <dcterms:created xsi:type="dcterms:W3CDTF">2020-11-16T23:01:00Z</dcterms:created>
  <dcterms:modified xsi:type="dcterms:W3CDTF">2022-08-03T02:29:00Z</dcterms:modified>
</cp:coreProperties>
</file>